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11" w:rsidRDefault="00E43D11" w:rsidP="00E43D11">
      <w:pPr>
        <w:ind w:firstLine="708"/>
        <w:rPr>
          <w:lang w:val="ru-RU"/>
        </w:rPr>
      </w:pPr>
      <w:bookmarkStart w:id="0" w:name="block-12441482"/>
      <w:r w:rsidRPr="00E43D11">
        <w:rPr>
          <w:lang w:val="ru-RU"/>
        </w:rPr>
        <w:drawing>
          <wp:inline distT="0" distB="0" distL="0" distR="0" wp14:anchorId="7F036292" wp14:editId="731A49C0">
            <wp:extent cx="5940425" cy="863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4271E" w:rsidRPr="00E43D11" w:rsidRDefault="00E43D11" w:rsidP="00E43D11">
      <w:pPr>
        <w:tabs>
          <w:tab w:val="left" w:pos="730"/>
        </w:tabs>
        <w:rPr>
          <w:lang w:val="ru-RU"/>
        </w:rPr>
        <w:sectPr w:rsidR="00D4271E" w:rsidRPr="00E43D1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D4271E" w:rsidRPr="003D0FFD" w:rsidRDefault="009E6C97" w:rsidP="0082160C">
      <w:pPr>
        <w:spacing w:after="0" w:line="264" w:lineRule="auto"/>
        <w:ind w:left="120"/>
        <w:jc w:val="center"/>
        <w:rPr>
          <w:lang w:val="ru-RU"/>
        </w:rPr>
      </w:pPr>
      <w:bookmarkStart w:id="2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271E" w:rsidRPr="003D0FFD" w:rsidRDefault="009A21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A47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ворчество выдающихся исполнителей-певцов, инструменталистов, дирижёр</w:t>
      </w:r>
      <w:r>
        <w:rPr>
          <w:rFonts w:ascii="Times New Roman" w:hAnsi="Times New Roman"/>
          <w:color w:val="000000"/>
          <w:sz w:val="28"/>
          <w:lang w:val="ru-RU"/>
        </w:rPr>
        <w:t>ов. Консерватория, филармония, к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="00A47C5F">
        <w:rPr>
          <w:rFonts w:ascii="Times New Roman" w:hAnsi="Times New Roman"/>
          <w:color w:val="000000"/>
          <w:sz w:val="28"/>
          <w:lang w:val="ru-RU"/>
        </w:rPr>
        <w:t xml:space="preserve"> Стремление человека к красоте о</w:t>
      </w:r>
      <w:r w:rsidRPr="003D0FFD">
        <w:rPr>
          <w:rFonts w:ascii="Times New Roman" w:hAnsi="Times New Roman"/>
          <w:color w:val="000000"/>
          <w:sz w:val="28"/>
          <w:lang w:val="ru-RU"/>
        </w:rPr>
        <w:t>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160C" w:rsidRDefault="008216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82160C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82160C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2160C" w:rsidRDefault="008216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7" w:name="block-1244148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E43D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9" w:name="block-12441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E6C97" w:rsidRDefault="009E6C97"/>
    <w:sectPr w:rsidR="009E6C97" w:rsidSect="006B70B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66" w:rsidRDefault="008B6766" w:rsidP="00E43D11">
      <w:pPr>
        <w:spacing w:after="0" w:line="240" w:lineRule="auto"/>
      </w:pPr>
      <w:r>
        <w:separator/>
      </w:r>
    </w:p>
  </w:endnote>
  <w:endnote w:type="continuationSeparator" w:id="0">
    <w:p w:rsidR="008B6766" w:rsidRDefault="008B6766" w:rsidP="00E4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66" w:rsidRDefault="008B6766" w:rsidP="00E43D11">
      <w:pPr>
        <w:spacing w:after="0" w:line="240" w:lineRule="auto"/>
      </w:pPr>
      <w:r>
        <w:separator/>
      </w:r>
    </w:p>
  </w:footnote>
  <w:footnote w:type="continuationSeparator" w:id="0">
    <w:p w:rsidR="008B6766" w:rsidRDefault="008B6766" w:rsidP="00E4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E0ED4"/>
    <w:multiLevelType w:val="hybridMultilevel"/>
    <w:tmpl w:val="31586A4C"/>
    <w:lvl w:ilvl="0" w:tplc="B9AEF82C">
      <w:start w:val="1"/>
      <w:numFmt w:val="decimal"/>
      <w:lvlText w:val="%1-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1E"/>
    <w:rsid w:val="00155062"/>
    <w:rsid w:val="00190469"/>
    <w:rsid w:val="00225926"/>
    <w:rsid w:val="003D0FFD"/>
    <w:rsid w:val="00503261"/>
    <w:rsid w:val="006B70B5"/>
    <w:rsid w:val="0082160C"/>
    <w:rsid w:val="008B6766"/>
    <w:rsid w:val="009A212B"/>
    <w:rsid w:val="009E6C97"/>
    <w:rsid w:val="00A47C5F"/>
    <w:rsid w:val="00D4271E"/>
    <w:rsid w:val="00E43D11"/>
    <w:rsid w:val="00E9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00D8"/>
  <w15:docId w15:val="{D2B49305-677E-4836-BCBA-5FB52E7D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70B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B7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82160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5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5062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E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76" Type="http://schemas.openxmlformats.org/officeDocument/2006/relationships/hyperlink" Target="https://m.edsoo.ru/f5e99ad8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m.edsoo.ru/f5e986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85</Pages>
  <Words>16952</Words>
  <Characters>96627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 po UVR</cp:lastModifiedBy>
  <cp:revision>8</cp:revision>
  <cp:lastPrinted>2023-09-07T07:46:00Z</cp:lastPrinted>
  <dcterms:created xsi:type="dcterms:W3CDTF">2023-09-01T16:11:00Z</dcterms:created>
  <dcterms:modified xsi:type="dcterms:W3CDTF">2024-11-27T11:16:00Z</dcterms:modified>
</cp:coreProperties>
</file>